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2ABA0">
      <w:pPr>
        <w:spacing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sz w:val="32"/>
          <w:szCs w:val="32"/>
        </w:rPr>
        <w:t>年硕士研究生入学考试大纲</w:t>
      </w:r>
    </w:p>
    <w:p w14:paraId="08D4667F">
      <w:pPr>
        <w:spacing w:line="500" w:lineRule="exact"/>
        <w:rPr>
          <w:rFonts w:ascii="宋体" w:hAnsi="宋体"/>
          <w:sz w:val="24"/>
        </w:rPr>
      </w:pPr>
    </w:p>
    <w:p w14:paraId="131CA661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考试科目名称：风景园林基础         </w:t>
      </w:r>
    </w:p>
    <w:p w14:paraId="18620C7E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考试科目代码：[344]</w:t>
      </w:r>
    </w:p>
    <w:p w14:paraId="1B2CEABA">
      <w:pPr>
        <w:rPr>
          <w:rFonts w:ascii="宋体" w:hAnsi="宋体"/>
          <w:sz w:val="24"/>
        </w:rPr>
      </w:pPr>
    </w:p>
    <w:p w14:paraId="095D25E0">
      <w:pPr>
        <w:numPr>
          <w:ilvl w:val="0"/>
          <w:numId w:val="1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考试要求：</w:t>
      </w:r>
    </w:p>
    <w:p w14:paraId="1BEC042F"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了解中西方园林发展的基本史实，掌握不同时期、不同地域的园林基本类型、形态及风格特征等，并能够加以初步分析和阐释；了解各种自然条件、文化形态、社会和经济因素等对园林形式和园林的影响，初步理解园林产生和发展的历史规律和发展趋势；掌握风景园林理论思潮演变规律、典型实例、代表人物、设计思想等。</w:t>
      </w:r>
    </w:p>
    <w:p w14:paraId="20497097"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ascii="宋体" w:hAnsi="宋体"/>
          <w:sz w:val="24"/>
        </w:rPr>
        <w:t>要求考生掌握风景园林规划设计的基本原则、规划设计方法和</w:t>
      </w:r>
      <w:r>
        <w:rPr>
          <w:rFonts w:hint="eastAsia" w:ascii="宋体" w:hAnsi="宋体"/>
          <w:sz w:val="24"/>
        </w:rPr>
        <w:t>设计</w:t>
      </w:r>
      <w:r>
        <w:rPr>
          <w:rFonts w:ascii="宋体" w:hAnsi="宋体"/>
          <w:sz w:val="24"/>
        </w:rPr>
        <w:t>流程，</w:t>
      </w:r>
      <w:r>
        <w:rPr>
          <w:rFonts w:hint="eastAsia" w:ascii="宋体" w:hAnsi="宋体"/>
          <w:sz w:val="24"/>
        </w:rPr>
        <w:t>熟悉</w:t>
      </w:r>
      <w:r>
        <w:rPr>
          <w:rFonts w:ascii="宋体" w:hAnsi="宋体"/>
          <w:sz w:val="24"/>
        </w:rPr>
        <w:t>当前国际、</w:t>
      </w:r>
      <w:r>
        <w:rPr>
          <w:rFonts w:hint="eastAsia" w:ascii="宋体" w:hAnsi="宋体"/>
          <w:sz w:val="24"/>
        </w:rPr>
        <w:t>国内</w:t>
      </w:r>
      <w:r>
        <w:rPr>
          <w:rFonts w:ascii="宋体" w:hAnsi="宋体"/>
          <w:sz w:val="24"/>
        </w:rPr>
        <w:t>景观规划设计的发展潮流和设计前沿理念。重点掌握场地设计、海绵城市、</w:t>
      </w:r>
      <w:r>
        <w:rPr>
          <w:rFonts w:hint="eastAsia" w:ascii="宋体" w:hAnsi="宋体"/>
          <w:sz w:val="24"/>
        </w:rPr>
        <w:t>滨水</w:t>
      </w:r>
      <w:r>
        <w:rPr>
          <w:rFonts w:ascii="宋体" w:hAnsi="宋体"/>
          <w:sz w:val="24"/>
        </w:rPr>
        <w:t>景观、</w:t>
      </w:r>
      <w:r>
        <w:rPr>
          <w:rFonts w:hint="eastAsia" w:ascii="宋体" w:hAnsi="宋体"/>
          <w:sz w:val="24"/>
        </w:rPr>
        <w:t>生态</w:t>
      </w:r>
      <w:r>
        <w:rPr>
          <w:rFonts w:ascii="宋体" w:hAnsi="宋体"/>
          <w:sz w:val="24"/>
        </w:rPr>
        <w:t>景观规划、</w:t>
      </w:r>
      <w:r>
        <w:rPr>
          <w:rFonts w:hint="eastAsia" w:ascii="宋体" w:hAnsi="宋体"/>
          <w:sz w:val="24"/>
        </w:rPr>
        <w:t>生态</w:t>
      </w:r>
      <w:r>
        <w:rPr>
          <w:rFonts w:ascii="宋体" w:hAnsi="宋体"/>
          <w:sz w:val="24"/>
        </w:rPr>
        <w:t>公园、</w:t>
      </w:r>
      <w:r>
        <w:rPr>
          <w:rFonts w:hint="eastAsia" w:ascii="宋体" w:hAnsi="宋体"/>
          <w:sz w:val="24"/>
        </w:rPr>
        <w:t>城市</w:t>
      </w:r>
      <w:r>
        <w:rPr>
          <w:rFonts w:ascii="宋体" w:hAnsi="宋体"/>
          <w:sz w:val="24"/>
        </w:rPr>
        <w:t>绿地系统6</w:t>
      </w:r>
      <w:r>
        <w:rPr>
          <w:rFonts w:hint="eastAsia" w:ascii="宋体" w:hAnsi="宋体"/>
          <w:sz w:val="24"/>
        </w:rPr>
        <w:t>种</w:t>
      </w:r>
      <w:r>
        <w:rPr>
          <w:rFonts w:ascii="宋体" w:hAnsi="宋体"/>
          <w:sz w:val="24"/>
        </w:rPr>
        <w:t>类型的规划设计原理、</w:t>
      </w:r>
      <w:r>
        <w:rPr>
          <w:rFonts w:hint="eastAsia" w:ascii="宋体" w:hAnsi="宋体"/>
          <w:sz w:val="24"/>
        </w:rPr>
        <w:t>基础</w:t>
      </w:r>
      <w:r>
        <w:rPr>
          <w:rFonts w:ascii="宋体" w:hAnsi="宋体"/>
          <w:sz w:val="24"/>
        </w:rPr>
        <w:t>调研内容和设计成果表达，</w:t>
      </w:r>
      <w:r>
        <w:rPr>
          <w:rFonts w:hint="eastAsia" w:ascii="宋体" w:hAnsi="宋体"/>
          <w:sz w:val="24"/>
        </w:rPr>
        <w:t>一般</w:t>
      </w:r>
      <w:r>
        <w:rPr>
          <w:rFonts w:ascii="宋体" w:hAnsi="宋体"/>
          <w:sz w:val="24"/>
        </w:rPr>
        <w:t>了解夜景观、</w:t>
      </w:r>
      <w:r>
        <w:rPr>
          <w:rFonts w:hint="eastAsia" w:ascii="宋体" w:hAnsi="宋体"/>
          <w:sz w:val="24"/>
        </w:rPr>
        <w:t>文化</w:t>
      </w:r>
      <w:r>
        <w:rPr>
          <w:rFonts w:ascii="宋体" w:hAnsi="宋体"/>
          <w:sz w:val="24"/>
        </w:rPr>
        <w:t>景观、</w:t>
      </w:r>
      <w:r>
        <w:rPr>
          <w:rFonts w:hint="eastAsia" w:ascii="宋体" w:hAnsi="宋体"/>
          <w:sz w:val="24"/>
        </w:rPr>
        <w:t>纪念性景观</w:t>
      </w:r>
      <w:r>
        <w:rPr>
          <w:rFonts w:ascii="宋体" w:hAnsi="宋体"/>
          <w:sz w:val="24"/>
        </w:rPr>
        <w:t>、园区规划4</w:t>
      </w:r>
      <w:r>
        <w:rPr>
          <w:rFonts w:hint="eastAsia" w:ascii="宋体" w:hAnsi="宋体"/>
          <w:sz w:val="24"/>
        </w:rPr>
        <w:t>种</w:t>
      </w:r>
      <w:r>
        <w:rPr>
          <w:rFonts w:ascii="宋体" w:hAnsi="宋体"/>
          <w:sz w:val="24"/>
        </w:rPr>
        <w:t>类型的设计原理与方法。熟悉以上10</w:t>
      </w:r>
      <w:r>
        <w:rPr>
          <w:rFonts w:hint="eastAsia" w:ascii="宋体" w:hAnsi="宋体"/>
          <w:sz w:val="24"/>
        </w:rPr>
        <w:t>种</w:t>
      </w:r>
      <w:r>
        <w:rPr>
          <w:rFonts w:ascii="宋体" w:hAnsi="宋体"/>
          <w:sz w:val="24"/>
        </w:rPr>
        <w:t>类型</w:t>
      </w:r>
      <w:r>
        <w:rPr>
          <w:rFonts w:hint="eastAsia" w:ascii="宋体" w:hAnsi="宋体"/>
          <w:sz w:val="24"/>
        </w:rPr>
        <w:t>景观</w:t>
      </w:r>
      <w:r>
        <w:rPr>
          <w:rFonts w:ascii="宋体" w:hAnsi="宋体"/>
          <w:sz w:val="24"/>
        </w:rPr>
        <w:t>设计的经典案例和规划手段，</w:t>
      </w:r>
      <w:r>
        <w:rPr>
          <w:rFonts w:hint="eastAsia" w:ascii="宋体" w:hAnsi="宋体"/>
          <w:sz w:val="24"/>
        </w:rPr>
        <w:t>并</w:t>
      </w:r>
      <w:r>
        <w:rPr>
          <w:rFonts w:ascii="宋体" w:hAnsi="宋体"/>
          <w:sz w:val="24"/>
        </w:rPr>
        <w:t>能对案例进行分析与总结。</w:t>
      </w:r>
    </w:p>
    <w:p w14:paraId="05B9BB3E"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要求考生掌握风景园林工程的基本理论和基本观点；掌握风景园林建设中竖向设计、土方工程、给排水工程、园路工程、水景工程、种植工程等单项工程的设计原理、施工工艺及构造节点；掌握风景园林建筑设计和</w:t>
      </w:r>
      <w:r>
        <w:rPr>
          <w:rFonts w:ascii="宋体" w:hAnsi="宋体"/>
          <w:sz w:val="24"/>
        </w:rPr>
        <w:t>园林小品设施</w:t>
      </w:r>
      <w:r>
        <w:rPr>
          <w:rFonts w:hint="eastAsia" w:ascii="宋体" w:hAnsi="宋体"/>
          <w:sz w:val="24"/>
        </w:rPr>
        <w:t>的基本方法与构造处理；了解风景园林工程的新理论、新方法及发展趋势。</w:t>
      </w:r>
    </w:p>
    <w:p w14:paraId="1357331A">
      <w:pPr>
        <w:ind w:firstLine="480" w:firstLineChars="200"/>
        <w:rPr>
          <w:rFonts w:ascii="宋体" w:hAnsi="宋体"/>
          <w:sz w:val="24"/>
        </w:rPr>
      </w:pPr>
    </w:p>
    <w:p w14:paraId="0D022CF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二、考试内容：</w:t>
      </w:r>
    </w:p>
    <w:p w14:paraId="555503D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1、风景园林历史及理论</w:t>
      </w:r>
    </w:p>
    <w:p w14:paraId="6A7CEA93"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1）中国及西方园林历史</w:t>
      </w:r>
    </w:p>
    <w:p w14:paraId="47345FD7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2）现代风景园林理论</w:t>
      </w:r>
    </w:p>
    <w:p w14:paraId="0A7057EE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2、风景园林规划设计原理</w:t>
      </w:r>
    </w:p>
    <w:p w14:paraId="3AB34F37">
      <w:pPr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3、风景园林工程</w:t>
      </w:r>
    </w:p>
    <w:p w14:paraId="18D10BD8">
      <w:pPr>
        <w:ind w:firstLine="480" w:firstLineChars="200"/>
        <w:rPr>
          <w:rFonts w:ascii="宋体" w:hAnsi="宋体"/>
          <w:sz w:val="24"/>
        </w:rPr>
      </w:pPr>
    </w:p>
    <w:p w14:paraId="372C7753">
      <w:pPr>
        <w:numPr>
          <w:ilvl w:val="0"/>
          <w:numId w:val="2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试卷结构：</w:t>
      </w:r>
    </w:p>
    <w:p w14:paraId="14DCAA8F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1、考试时间：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小时，满分：150分</w:t>
      </w:r>
    </w:p>
    <w:p w14:paraId="2E322DA1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2、题型结构</w:t>
      </w:r>
    </w:p>
    <w:p w14:paraId="3D2D3608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1）名词与概念解释</w:t>
      </w:r>
    </w:p>
    <w:p w14:paraId="0830CC94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2）简答题</w:t>
      </w:r>
    </w:p>
    <w:p w14:paraId="47814A05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3）论述题</w:t>
      </w:r>
    </w:p>
    <w:p w14:paraId="53DDC478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4）图示题</w:t>
      </w:r>
    </w:p>
    <w:p w14:paraId="7FEAABC2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3、内容结构</w:t>
      </w:r>
    </w:p>
    <w:p w14:paraId="35BC210D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1）风景园林历史及理论（5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分）</w:t>
      </w:r>
    </w:p>
    <w:p w14:paraId="0D2D3FB8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2）风景园林规划设计原理（60分）</w:t>
      </w:r>
    </w:p>
    <w:p w14:paraId="31AC6408"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3）风景园林工程（40分）</w:t>
      </w:r>
    </w:p>
    <w:p w14:paraId="110C50F4">
      <w:pPr>
        <w:ind w:firstLine="600" w:firstLineChars="250"/>
        <w:rPr>
          <w:rFonts w:ascii="宋体" w:hAnsi="宋体"/>
          <w:sz w:val="24"/>
        </w:rPr>
      </w:pPr>
    </w:p>
    <w:p w14:paraId="71C90CB0">
      <w:pPr>
        <w:numPr>
          <w:ilvl w:val="0"/>
          <w:numId w:val="2"/>
        </w:num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参考书目</w:t>
      </w:r>
    </w:p>
    <w:p w14:paraId="5E3984C0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1）周维权 著，《中国古典园林史》</w:t>
      </w:r>
      <w:r>
        <w:fldChar w:fldCharType="begin"/>
      </w:r>
      <w:r>
        <w:instrText xml:space="preserve"> HYPERLINK "http://product.dangdang.com/24161708.html" \t "_blank" \o " 景观生态学原理及应用(第二版) " </w:instrText>
      </w:r>
      <w:r>
        <w:fldChar w:fldCharType="separate"/>
      </w:r>
      <w:r>
        <w:rPr>
          <w:rFonts w:ascii="宋体" w:hAnsi="宋体"/>
          <w:sz w:val="24"/>
        </w:rPr>
        <w:t>(第</w:t>
      </w:r>
      <w:r>
        <w:rPr>
          <w:rFonts w:hint="eastAsia" w:ascii="宋体" w:hAnsi="宋体"/>
          <w:sz w:val="24"/>
        </w:rPr>
        <w:t>三</w:t>
      </w:r>
      <w:r>
        <w:rPr>
          <w:rFonts w:ascii="宋体" w:hAnsi="宋体"/>
          <w:sz w:val="24"/>
        </w:rPr>
        <w:t>版)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，清华大学出版社，</w:t>
      </w:r>
      <w:r>
        <w:rPr>
          <w:rFonts w:ascii="宋体" w:hAnsi="宋体"/>
          <w:sz w:val="24"/>
        </w:rPr>
        <w:t>2008</w:t>
      </w:r>
      <w:r>
        <w:rPr>
          <w:rFonts w:hint="eastAsia" w:ascii="宋体" w:hAnsi="宋体"/>
          <w:szCs w:val="21"/>
        </w:rPr>
        <w:t>.</w:t>
      </w:r>
    </w:p>
    <w:p w14:paraId="7DA5DF84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2）陈志华 著，《外国造园艺术》，河南科学技术出版社，20</w:t>
      </w: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Cs w:val="21"/>
        </w:rPr>
        <w:t>.</w:t>
      </w:r>
    </w:p>
    <w:p w14:paraId="4911D5EC">
      <w:pPr>
        <w:pStyle w:val="3"/>
        <w:tabs>
          <w:tab w:val="left" w:pos="360"/>
          <w:tab w:val="clear" w:pos="498"/>
        </w:tabs>
        <w:ind w:left="839" w:leftChars="228" w:hanging="360" w:hangingChars="15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3）沈守云 主编，《现代景观设计思潮》，华中科技大学</w:t>
      </w:r>
      <w:r>
        <w:rPr>
          <w:rFonts w:ascii="宋体" w:hAnsi="宋体"/>
          <w:szCs w:val="24"/>
        </w:rPr>
        <w:t>出版社</w:t>
      </w:r>
      <w:r>
        <w:rPr>
          <w:rFonts w:hint="eastAsia" w:ascii="宋体" w:hAnsi="宋体"/>
          <w:szCs w:val="24"/>
        </w:rPr>
        <w:t>，</w:t>
      </w:r>
      <w:r>
        <w:rPr>
          <w:rFonts w:ascii="宋体" w:hAnsi="宋体"/>
          <w:szCs w:val="24"/>
        </w:rPr>
        <w:t>2015</w:t>
      </w:r>
      <w:r>
        <w:rPr>
          <w:rFonts w:hint="eastAsia" w:ascii="宋体" w:hAnsi="宋体"/>
          <w:szCs w:val="21"/>
        </w:rPr>
        <w:t>.</w:t>
      </w:r>
    </w:p>
    <w:p w14:paraId="0CA3BDE4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）</w:t>
      </w:r>
      <w:r>
        <w:fldChar w:fldCharType="begin"/>
      </w:r>
      <w:r>
        <w:instrText xml:space="preserve"> HYPERLINK "http://www.amazon.cn/mn/searchApp?searchWord=%E6%9E%97%E6%96%B9%E5%96%9C" </w:instrText>
      </w:r>
      <w:r>
        <w:fldChar w:fldCharType="separate"/>
      </w:r>
      <w:r>
        <w:rPr>
          <w:rFonts w:hint="eastAsia" w:ascii="宋体" w:hAnsi="宋体"/>
          <w:sz w:val="24"/>
        </w:rPr>
        <w:t>孟兆祯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 主编《风景园林工程》，中国林业</w:t>
      </w:r>
      <w:r>
        <w:rPr>
          <w:rFonts w:ascii="宋体" w:hAnsi="宋体"/>
          <w:sz w:val="24"/>
        </w:rPr>
        <w:t>出版社</w:t>
      </w:r>
      <w:r>
        <w:rPr>
          <w:rFonts w:hint="eastAsia" w:ascii="宋体" w:hAnsi="宋体"/>
          <w:sz w:val="24"/>
        </w:rPr>
        <w:t>，2012</w:t>
      </w:r>
      <w:r>
        <w:rPr>
          <w:rFonts w:hint="eastAsia" w:ascii="宋体" w:hAnsi="宋体"/>
          <w:szCs w:val="21"/>
        </w:rPr>
        <w:t>.</w:t>
      </w:r>
    </w:p>
    <w:p w14:paraId="3D620212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）李树华 著</w:t>
      </w:r>
      <w:r>
        <w:rPr>
          <w:rFonts w:ascii="宋体" w:hAnsi="宋体"/>
          <w:sz w:val="24"/>
        </w:rPr>
        <w:t>，《</w:t>
      </w:r>
      <w:r>
        <w:rPr>
          <w:rFonts w:hint="eastAsia" w:ascii="宋体" w:hAnsi="宋体"/>
          <w:sz w:val="24"/>
        </w:rPr>
        <w:t>园林种植</w:t>
      </w:r>
      <w:r>
        <w:rPr>
          <w:rFonts w:ascii="宋体" w:hAnsi="宋体"/>
          <w:sz w:val="24"/>
        </w:rPr>
        <w:t>设计学》</w:t>
      </w:r>
      <w:r>
        <w:rPr>
          <w:rFonts w:hint="eastAsia" w:ascii="宋体" w:hAnsi="宋体"/>
          <w:sz w:val="24"/>
        </w:rPr>
        <w:t>，中国农业</w:t>
      </w:r>
      <w:r>
        <w:rPr>
          <w:rFonts w:ascii="宋体" w:hAnsi="宋体"/>
          <w:sz w:val="24"/>
        </w:rPr>
        <w:t>出版社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2010</w:t>
      </w:r>
      <w:r>
        <w:rPr>
          <w:rFonts w:hint="eastAsia" w:ascii="宋体" w:hAnsi="宋体"/>
          <w:szCs w:val="21"/>
        </w:rPr>
        <w:t>.</w:t>
      </w:r>
    </w:p>
    <w:p w14:paraId="6BB04A35">
      <w:pPr>
        <w:widowControl/>
        <w:shd w:val="clear" w:color="auto" w:fill="FFFFFF"/>
        <w:spacing w:line="300" w:lineRule="atLeast"/>
        <w:ind w:left="-359" w:leftChars="-171" w:firstLine="840" w:firstLineChars="35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）麦克哈格</w:t>
      </w:r>
      <w:r>
        <w:rPr>
          <w:rFonts w:ascii="宋体" w:hAnsi="宋体"/>
        </w:rPr>
        <w:t>（美）</w:t>
      </w:r>
      <w:r>
        <w:rPr>
          <w:rFonts w:hint="eastAsia" w:ascii="宋体" w:hAnsi="宋体"/>
          <w:sz w:val="24"/>
        </w:rPr>
        <w:t>著，</w:t>
      </w:r>
      <w:r>
        <w:rPr>
          <w:rFonts w:ascii="宋体" w:hAnsi="宋体"/>
          <w:sz w:val="24"/>
        </w:rPr>
        <w:t>黄经纬 译</w:t>
      </w:r>
      <w:r>
        <w:rPr>
          <w:rFonts w:hint="eastAsia" w:ascii="宋体" w:hAnsi="宋体"/>
          <w:sz w:val="24"/>
        </w:rPr>
        <w:t>《设计结合自然》，天津大学出版社，</w:t>
      </w:r>
      <w:r>
        <w:rPr>
          <w:rFonts w:ascii="宋体" w:hAnsi="宋体"/>
          <w:sz w:val="24"/>
        </w:rPr>
        <w:t>2008</w:t>
      </w:r>
      <w:r>
        <w:rPr>
          <w:rFonts w:hint="eastAsia" w:ascii="宋体" w:hAnsi="宋体"/>
          <w:szCs w:val="21"/>
        </w:rPr>
        <w:t>.</w:t>
      </w:r>
    </w:p>
    <w:p w14:paraId="4962F993"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 w:val="24"/>
        </w:rPr>
        <w:t>）王云才著，《景观生态规划设计案例评析》，同济大学出版社，2013</w:t>
      </w:r>
      <w:r>
        <w:rPr>
          <w:rFonts w:hint="eastAsia" w:ascii="宋体" w:hAnsi="宋体"/>
          <w:szCs w:val="21"/>
        </w:rPr>
        <w:t>.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B14BE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05081"/>
    <w:multiLevelType w:val="multilevel"/>
    <w:tmpl w:val="4B20508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8CC03BC"/>
    <w:multiLevelType w:val="multilevel"/>
    <w:tmpl w:val="78CC03BC"/>
    <w:lvl w:ilvl="0" w:tentative="0">
      <w:start w:val="3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kMmI3NmYyZTljMGVhYThiNzdjOWY2NGYwNTViYzYifQ=="/>
  </w:docVars>
  <w:rsids>
    <w:rsidRoot w:val="005C37A9"/>
    <w:rsid w:val="00003533"/>
    <w:rsid w:val="00006101"/>
    <w:rsid w:val="00010685"/>
    <w:rsid w:val="00011AA1"/>
    <w:rsid w:val="00013A4D"/>
    <w:rsid w:val="00017160"/>
    <w:rsid w:val="00026B86"/>
    <w:rsid w:val="000654F1"/>
    <w:rsid w:val="000710B9"/>
    <w:rsid w:val="00077D2D"/>
    <w:rsid w:val="000814A8"/>
    <w:rsid w:val="000A560D"/>
    <w:rsid w:val="000B6A97"/>
    <w:rsid w:val="000C7CC3"/>
    <w:rsid w:val="000F1413"/>
    <w:rsid w:val="00100C0C"/>
    <w:rsid w:val="00103A8A"/>
    <w:rsid w:val="00103FA4"/>
    <w:rsid w:val="00104353"/>
    <w:rsid w:val="0010592C"/>
    <w:rsid w:val="001067DB"/>
    <w:rsid w:val="00133BE2"/>
    <w:rsid w:val="00144C93"/>
    <w:rsid w:val="00154D70"/>
    <w:rsid w:val="00160F12"/>
    <w:rsid w:val="00171203"/>
    <w:rsid w:val="001713A5"/>
    <w:rsid w:val="00184F35"/>
    <w:rsid w:val="001A2CB6"/>
    <w:rsid w:val="001A4AC4"/>
    <w:rsid w:val="001A621D"/>
    <w:rsid w:val="001C2AD1"/>
    <w:rsid w:val="001D0D30"/>
    <w:rsid w:val="001D1162"/>
    <w:rsid w:val="00212BAF"/>
    <w:rsid w:val="002163F6"/>
    <w:rsid w:val="002301F3"/>
    <w:rsid w:val="0023102A"/>
    <w:rsid w:val="0023166E"/>
    <w:rsid w:val="00273EF5"/>
    <w:rsid w:val="00275CCF"/>
    <w:rsid w:val="00294C62"/>
    <w:rsid w:val="002A4F4D"/>
    <w:rsid w:val="002B1BE8"/>
    <w:rsid w:val="002B436F"/>
    <w:rsid w:val="002C10AE"/>
    <w:rsid w:val="002C315F"/>
    <w:rsid w:val="002C5209"/>
    <w:rsid w:val="002E738D"/>
    <w:rsid w:val="002F0C32"/>
    <w:rsid w:val="003026AC"/>
    <w:rsid w:val="00342346"/>
    <w:rsid w:val="003668F2"/>
    <w:rsid w:val="00374A22"/>
    <w:rsid w:val="00396D63"/>
    <w:rsid w:val="003977D6"/>
    <w:rsid w:val="003A34E2"/>
    <w:rsid w:val="003B7CA5"/>
    <w:rsid w:val="003F37E5"/>
    <w:rsid w:val="0040221F"/>
    <w:rsid w:val="004110D3"/>
    <w:rsid w:val="00421DE1"/>
    <w:rsid w:val="00422586"/>
    <w:rsid w:val="00427272"/>
    <w:rsid w:val="004360A9"/>
    <w:rsid w:val="00436CDF"/>
    <w:rsid w:val="004679AF"/>
    <w:rsid w:val="0048151B"/>
    <w:rsid w:val="004835C8"/>
    <w:rsid w:val="004843F2"/>
    <w:rsid w:val="004A388A"/>
    <w:rsid w:val="004A71A9"/>
    <w:rsid w:val="004B61AE"/>
    <w:rsid w:val="004C66F9"/>
    <w:rsid w:val="004D5387"/>
    <w:rsid w:val="004D58D8"/>
    <w:rsid w:val="004E4D54"/>
    <w:rsid w:val="004E6E50"/>
    <w:rsid w:val="004F63F8"/>
    <w:rsid w:val="00513E4B"/>
    <w:rsid w:val="00546082"/>
    <w:rsid w:val="00561DEF"/>
    <w:rsid w:val="00583016"/>
    <w:rsid w:val="005A1001"/>
    <w:rsid w:val="005B25DB"/>
    <w:rsid w:val="005B4C2D"/>
    <w:rsid w:val="005C37A9"/>
    <w:rsid w:val="005C4A45"/>
    <w:rsid w:val="005D579C"/>
    <w:rsid w:val="005D7AB9"/>
    <w:rsid w:val="00601C63"/>
    <w:rsid w:val="006052D7"/>
    <w:rsid w:val="00633A99"/>
    <w:rsid w:val="00633FBA"/>
    <w:rsid w:val="00641448"/>
    <w:rsid w:val="00655294"/>
    <w:rsid w:val="00670D8B"/>
    <w:rsid w:val="0067181B"/>
    <w:rsid w:val="00694B64"/>
    <w:rsid w:val="006A10DA"/>
    <w:rsid w:val="006A7B1C"/>
    <w:rsid w:val="006B3C31"/>
    <w:rsid w:val="006C3639"/>
    <w:rsid w:val="006E6E64"/>
    <w:rsid w:val="006E7566"/>
    <w:rsid w:val="00704D90"/>
    <w:rsid w:val="00726050"/>
    <w:rsid w:val="00735F99"/>
    <w:rsid w:val="00740FFF"/>
    <w:rsid w:val="007446A4"/>
    <w:rsid w:val="0075058D"/>
    <w:rsid w:val="00754599"/>
    <w:rsid w:val="00764252"/>
    <w:rsid w:val="007770FB"/>
    <w:rsid w:val="00791C7C"/>
    <w:rsid w:val="00792A16"/>
    <w:rsid w:val="007A7875"/>
    <w:rsid w:val="007B387F"/>
    <w:rsid w:val="007B7CD1"/>
    <w:rsid w:val="007D0A3E"/>
    <w:rsid w:val="008377F7"/>
    <w:rsid w:val="00851CF7"/>
    <w:rsid w:val="00875291"/>
    <w:rsid w:val="00885C73"/>
    <w:rsid w:val="0089156D"/>
    <w:rsid w:val="00893DB9"/>
    <w:rsid w:val="008C01F4"/>
    <w:rsid w:val="008C430E"/>
    <w:rsid w:val="008C53CC"/>
    <w:rsid w:val="008D5A10"/>
    <w:rsid w:val="00901116"/>
    <w:rsid w:val="0090798E"/>
    <w:rsid w:val="00915E68"/>
    <w:rsid w:val="00923415"/>
    <w:rsid w:val="009251DB"/>
    <w:rsid w:val="009419E8"/>
    <w:rsid w:val="00943BC9"/>
    <w:rsid w:val="00961E6E"/>
    <w:rsid w:val="00967259"/>
    <w:rsid w:val="009757D9"/>
    <w:rsid w:val="00977F19"/>
    <w:rsid w:val="009A5176"/>
    <w:rsid w:val="009B11F0"/>
    <w:rsid w:val="009B64A3"/>
    <w:rsid w:val="009D5015"/>
    <w:rsid w:val="009E67D5"/>
    <w:rsid w:val="00A0649E"/>
    <w:rsid w:val="00A1039E"/>
    <w:rsid w:val="00A1402F"/>
    <w:rsid w:val="00A24144"/>
    <w:rsid w:val="00A249F5"/>
    <w:rsid w:val="00A34DDF"/>
    <w:rsid w:val="00A50A31"/>
    <w:rsid w:val="00A529B4"/>
    <w:rsid w:val="00A56DDC"/>
    <w:rsid w:val="00A6664F"/>
    <w:rsid w:val="00A852D6"/>
    <w:rsid w:val="00AC3BC1"/>
    <w:rsid w:val="00AC56FA"/>
    <w:rsid w:val="00AE77F7"/>
    <w:rsid w:val="00B07B7B"/>
    <w:rsid w:val="00B2064C"/>
    <w:rsid w:val="00B35675"/>
    <w:rsid w:val="00B37D10"/>
    <w:rsid w:val="00B37F1D"/>
    <w:rsid w:val="00B50539"/>
    <w:rsid w:val="00B5759D"/>
    <w:rsid w:val="00B708E6"/>
    <w:rsid w:val="00B752AD"/>
    <w:rsid w:val="00B843C9"/>
    <w:rsid w:val="00B96AFE"/>
    <w:rsid w:val="00BA4A41"/>
    <w:rsid w:val="00BA6DBD"/>
    <w:rsid w:val="00BB21A5"/>
    <w:rsid w:val="00BB3183"/>
    <w:rsid w:val="00BC4176"/>
    <w:rsid w:val="00BD4AD1"/>
    <w:rsid w:val="00BF0C4F"/>
    <w:rsid w:val="00C1168B"/>
    <w:rsid w:val="00C11D10"/>
    <w:rsid w:val="00C126DB"/>
    <w:rsid w:val="00C41114"/>
    <w:rsid w:val="00C5238C"/>
    <w:rsid w:val="00C912C4"/>
    <w:rsid w:val="00CA7F2B"/>
    <w:rsid w:val="00CD158A"/>
    <w:rsid w:val="00CD1693"/>
    <w:rsid w:val="00CF710E"/>
    <w:rsid w:val="00D302D2"/>
    <w:rsid w:val="00D657D8"/>
    <w:rsid w:val="00D72E03"/>
    <w:rsid w:val="00D81E92"/>
    <w:rsid w:val="00DA2C9C"/>
    <w:rsid w:val="00DD1597"/>
    <w:rsid w:val="00DD6EF7"/>
    <w:rsid w:val="00DE1735"/>
    <w:rsid w:val="00E02CF8"/>
    <w:rsid w:val="00E11AE5"/>
    <w:rsid w:val="00E2148E"/>
    <w:rsid w:val="00E463B7"/>
    <w:rsid w:val="00E543F6"/>
    <w:rsid w:val="00E73315"/>
    <w:rsid w:val="00E7651F"/>
    <w:rsid w:val="00E80057"/>
    <w:rsid w:val="00E82DD8"/>
    <w:rsid w:val="00E90921"/>
    <w:rsid w:val="00E91382"/>
    <w:rsid w:val="00EA14DD"/>
    <w:rsid w:val="00EA5EA2"/>
    <w:rsid w:val="00EF6240"/>
    <w:rsid w:val="00F049B9"/>
    <w:rsid w:val="00F3654C"/>
    <w:rsid w:val="00F61E27"/>
    <w:rsid w:val="00F629B1"/>
    <w:rsid w:val="00F71DC6"/>
    <w:rsid w:val="00F922B9"/>
    <w:rsid w:val="00FB0E98"/>
    <w:rsid w:val="00FB4357"/>
    <w:rsid w:val="00FC3B52"/>
    <w:rsid w:val="00FC42B8"/>
    <w:rsid w:val="00FD1CBD"/>
    <w:rsid w:val="1EE34686"/>
    <w:rsid w:val="1F9F43B3"/>
    <w:rsid w:val="40653B7E"/>
    <w:rsid w:val="46CA47FD"/>
    <w:rsid w:val="7EA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endnote text"/>
    <w:basedOn w:val="1"/>
    <w:semiHidden/>
    <w:uiPriority w:val="0"/>
    <w:pPr>
      <w:tabs>
        <w:tab w:val="left" w:pos="498"/>
      </w:tabs>
      <w:ind w:left="200" w:hanging="200" w:hangingChars="200"/>
    </w:pPr>
    <w:rPr>
      <w:sz w:val="24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Emphasis"/>
    <w:qFormat/>
    <w:uiPriority w:val="0"/>
  </w:style>
  <w:style w:type="character" w:styleId="11">
    <w:name w:val="Hyperlink"/>
    <w:uiPriority w:val="0"/>
    <w:rPr>
      <w:color w:val="0042D1"/>
      <w:u w:val="none"/>
    </w:rPr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页脚 字符"/>
    <w:link w:val="5"/>
    <w:uiPriority w:val="0"/>
    <w:rPr>
      <w:kern w:val="2"/>
      <w:sz w:val="18"/>
      <w:szCs w:val="18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paragraph" w:customStyle="1" w:styleId="15">
    <w:name w:val="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hitgs</Company>
  <Pages>2</Pages>
  <Words>912</Words>
  <Characters>957</Characters>
  <Lines>8</Lines>
  <Paragraphs>2</Paragraphs>
  <TotalTime>8</TotalTime>
  <ScaleCrop>false</ScaleCrop>
  <LinksUpToDate>false</LinksUpToDate>
  <CharactersWithSpaces>982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2023-08-30T09:50:00Z</dcterms:created>
  <dc:creator>zsb</dc:creator>
  <cp:lastModifiedBy>Yuexing</cp:lastModifiedBy>
  <cp:lastPrinted>2024-09-10T07:18:59Z</cp:lastPrinted>
  <dcterms:modified xsi:type="dcterms:W3CDTF">2024-09-10T07:50:16Z</dcterms:modified>
  <dc:title>考试大纲格式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C5A369D8C20E48738D9DBB1845AFC96C_12</vt:lpwstr>
  </property>
</Properties>
</file>